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91" w:rsidRDefault="00542E91" w:rsidP="00542E91">
      <w:pPr>
        <w:spacing w:after="120" w:line="360" w:lineRule="auto"/>
        <w:ind w:left="3540"/>
        <w:jc w:val="both"/>
        <w:rPr>
          <w:rFonts w:ascii="Arial" w:eastAsia="Calibri" w:hAnsi="Arial" w:cs="Arial"/>
          <w:b/>
          <w:sz w:val="24"/>
          <w:szCs w:val="24"/>
        </w:rPr>
      </w:pPr>
    </w:p>
    <w:p w:rsidR="00542E91" w:rsidRDefault="00542E91" w:rsidP="00542E91">
      <w:pPr>
        <w:spacing w:after="120" w:line="360" w:lineRule="auto"/>
        <w:ind w:left="3540"/>
        <w:jc w:val="both"/>
        <w:rPr>
          <w:rFonts w:ascii="Arial" w:eastAsia="Calibri" w:hAnsi="Arial" w:cs="Arial"/>
          <w:b/>
          <w:sz w:val="24"/>
          <w:szCs w:val="24"/>
        </w:rPr>
      </w:pPr>
    </w:p>
    <w:p w:rsidR="00542E91" w:rsidRDefault="00542E91" w:rsidP="00542E91">
      <w:pPr>
        <w:spacing w:after="120" w:line="360" w:lineRule="auto"/>
        <w:ind w:left="3540"/>
        <w:jc w:val="both"/>
        <w:rPr>
          <w:rFonts w:ascii="Arial" w:eastAsia="Calibri" w:hAnsi="Arial" w:cs="Arial"/>
          <w:b/>
          <w:sz w:val="24"/>
          <w:szCs w:val="24"/>
        </w:rPr>
      </w:pPr>
    </w:p>
    <w:p w:rsidR="00542E91" w:rsidRPr="00542E91" w:rsidRDefault="00542E91" w:rsidP="00542E91">
      <w:pPr>
        <w:spacing w:line="360" w:lineRule="auto"/>
        <w:jc w:val="center"/>
        <w:rPr>
          <w:rFonts w:ascii="Arial" w:hAnsi="Arial" w:cs="Arial"/>
          <w:b/>
        </w:rPr>
      </w:pPr>
      <w:r w:rsidRPr="00542E91">
        <w:rPr>
          <w:rFonts w:ascii="Arial" w:hAnsi="Arial" w:cs="Arial"/>
          <w:b/>
        </w:rPr>
        <w:t xml:space="preserve">REDAÇÃO FINAL DO PROJETO DE LEI Nº </w:t>
      </w:r>
      <w:r>
        <w:rPr>
          <w:rFonts w:ascii="Arial" w:hAnsi="Arial" w:cs="Arial"/>
          <w:b/>
        </w:rPr>
        <w:t>18</w:t>
      </w:r>
      <w:r w:rsidRPr="00542E91">
        <w:rPr>
          <w:rFonts w:ascii="Arial" w:hAnsi="Arial" w:cs="Arial"/>
          <w:b/>
        </w:rPr>
        <w:t>/2023.</w:t>
      </w:r>
    </w:p>
    <w:p w:rsidR="00542E91" w:rsidRDefault="00542E91" w:rsidP="00542E91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542E91">
        <w:rPr>
          <w:rFonts w:ascii="Arial" w:hAnsi="Arial" w:cs="Arial"/>
        </w:rPr>
        <w:t xml:space="preserve">De iniciativa do Executivo Municipal, o Projeto de Lei epigrafado </w:t>
      </w:r>
      <w:r w:rsidRPr="00542E91">
        <w:rPr>
          <w:rFonts w:ascii="Arial" w:eastAsia="Times New Roman" w:hAnsi="Arial" w:cs="Arial"/>
          <w:b/>
          <w:lang w:eastAsia="pt-BR"/>
        </w:rPr>
        <w:t>“Autoriza o Município de Belo Oriente/Minas Gerais a abrir crédito adicional espec</w:t>
      </w:r>
      <w:r>
        <w:rPr>
          <w:rFonts w:ascii="Arial" w:eastAsia="Times New Roman" w:hAnsi="Arial" w:cs="Arial"/>
          <w:b/>
          <w:lang w:eastAsia="pt-BR"/>
        </w:rPr>
        <w:t>ial, e dá outras providências.”</w:t>
      </w:r>
      <w:r w:rsidRPr="00542E91">
        <w:rPr>
          <w:rFonts w:ascii="Arial" w:eastAsia="Times New Roman" w:hAnsi="Arial" w:cs="Arial"/>
          <w:b/>
        </w:rPr>
        <w:t xml:space="preserve"> </w:t>
      </w:r>
      <w:r w:rsidRPr="00542E91">
        <w:rPr>
          <w:rFonts w:ascii="Arial" w:hAnsi="Arial" w:cs="Arial"/>
        </w:rPr>
        <w:t>Após análise, a Comissão de Legislação, Justiça e Redação</w:t>
      </w:r>
      <w:r w:rsidRPr="00542E91">
        <w:rPr>
          <w:rFonts w:ascii="Arial" w:hAnsi="Arial" w:cs="Arial"/>
          <w:b/>
        </w:rPr>
        <w:t xml:space="preserve">, </w:t>
      </w:r>
      <w:r w:rsidRPr="00542E91">
        <w:rPr>
          <w:rFonts w:ascii="Arial" w:hAnsi="Arial" w:cs="Arial"/>
        </w:rPr>
        <w:t>emitiu Redação Final ao Projeto de Lei, conforme abaixo:</w:t>
      </w:r>
    </w:p>
    <w:p w:rsidR="00542E91" w:rsidRPr="00542E91" w:rsidRDefault="00542E91" w:rsidP="00542E91">
      <w:pPr>
        <w:spacing w:after="120" w:line="360" w:lineRule="auto"/>
        <w:ind w:firstLine="708"/>
        <w:jc w:val="both"/>
        <w:rPr>
          <w:rFonts w:ascii="Arial" w:hAnsi="Arial" w:cs="Arial"/>
        </w:rPr>
      </w:pPr>
    </w:p>
    <w:p w:rsidR="00542E91" w:rsidRPr="00542E91" w:rsidRDefault="00542E91" w:rsidP="00542E91">
      <w:pPr>
        <w:spacing w:line="360" w:lineRule="auto"/>
        <w:ind w:left="708" w:firstLine="708"/>
        <w:jc w:val="center"/>
        <w:rPr>
          <w:rFonts w:ascii="Arial" w:hAnsi="Arial" w:cs="Arial"/>
          <w:b/>
        </w:rPr>
      </w:pPr>
      <w:r w:rsidRPr="00542E91">
        <w:rPr>
          <w:rFonts w:ascii="Arial" w:hAnsi="Arial" w:cs="Arial"/>
          <w:b/>
        </w:rPr>
        <w:t xml:space="preserve">PROJETO DE LEI Nº </w:t>
      </w:r>
      <w:r>
        <w:rPr>
          <w:rFonts w:ascii="Arial" w:hAnsi="Arial" w:cs="Arial"/>
          <w:b/>
        </w:rPr>
        <w:t>18</w:t>
      </w:r>
      <w:r w:rsidRPr="00542E91">
        <w:rPr>
          <w:rFonts w:ascii="Arial" w:hAnsi="Arial" w:cs="Arial"/>
          <w:b/>
        </w:rPr>
        <w:t>/2023.</w:t>
      </w:r>
      <w:bookmarkStart w:id="0" w:name="_GoBack"/>
      <w:bookmarkEnd w:id="0"/>
    </w:p>
    <w:p w:rsidR="00542E91" w:rsidRPr="00542E91" w:rsidRDefault="00542E91" w:rsidP="00542E91">
      <w:pPr>
        <w:spacing w:after="120" w:line="360" w:lineRule="auto"/>
        <w:ind w:left="3540"/>
        <w:jc w:val="both"/>
        <w:rPr>
          <w:rFonts w:ascii="Arial" w:eastAsia="Calibri" w:hAnsi="Arial" w:cs="Arial"/>
          <w:b/>
          <w:sz w:val="24"/>
          <w:szCs w:val="24"/>
        </w:rPr>
      </w:pPr>
      <w:r w:rsidRPr="00542E91">
        <w:rPr>
          <w:rFonts w:ascii="Arial" w:eastAsia="Calibri" w:hAnsi="Arial" w:cs="Arial"/>
          <w:b/>
          <w:sz w:val="24"/>
          <w:szCs w:val="24"/>
        </w:rPr>
        <w:t>“Autoriza o Município de Belo Oriente abrir crédito adicional especial, e dá outras providências”.</w:t>
      </w:r>
      <w:proofErr w:type="gramStart"/>
      <w:r w:rsidRPr="00542E91">
        <w:rPr>
          <w:rFonts w:ascii="Arial" w:eastAsia="Calibri" w:hAnsi="Arial" w:cs="Arial"/>
          <w:b/>
          <w:sz w:val="24"/>
          <w:szCs w:val="24"/>
        </w:rPr>
        <w:tab/>
      </w:r>
      <w:proofErr w:type="gramEnd"/>
    </w:p>
    <w:p w:rsidR="00542E91" w:rsidRPr="00542E91" w:rsidRDefault="00542E91" w:rsidP="00542E91">
      <w:pPr>
        <w:spacing w:after="16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42E91" w:rsidRPr="00542E91" w:rsidRDefault="00542E91" w:rsidP="00542E91">
      <w:pPr>
        <w:spacing w:after="16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sz w:val="24"/>
          <w:szCs w:val="24"/>
        </w:rPr>
        <w:t>O Prefeito do Município de Belo Oriente, Estado de Minas Gerais, faço saber que a Câmara Municipal aprovou e, eu sanciono a seguinte Lei:</w:t>
      </w:r>
    </w:p>
    <w:p w:rsidR="00542E91" w:rsidRPr="00542E91" w:rsidRDefault="00542E91" w:rsidP="00542E91">
      <w:pPr>
        <w:tabs>
          <w:tab w:val="left" w:pos="1260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42E91" w:rsidRPr="00542E91" w:rsidRDefault="00542E91" w:rsidP="00542E91">
      <w:pPr>
        <w:tabs>
          <w:tab w:val="left" w:pos="1260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sz w:val="24"/>
          <w:szCs w:val="24"/>
        </w:rPr>
        <w:tab/>
      </w:r>
      <w:r w:rsidRPr="00542E91">
        <w:rPr>
          <w:rFonts w:ascii="Arial" w:eastAsia="Calibri" w:hAnsi="Arial" w:cs="Arial"/>
          <w:b/>
          <w:sz w:val="24"/>
          <w:szCs w:val="24"/>
        </w:rPr>
        <w:t>Art. 1º.</w:t>
      </w:r>
      <w:r w:rsidRPr="00542E91">
        <w:rPr>
          <w:rFonts w:ascii="Arial" w:eastAsia="Calibri" w:hAnsi="Arial" w:cs="Arial"/>
          <w:sz w:val="24"/>
          <w:szCs w:val="24"/>
        </w:rPr>
        <w:t xml:space="preserve"> Fica o Poder Executivo Municipal, respeitadas as demais prescrições constitucionais e nos termos do artigo 43 da lei nº 4.320/64, autorizado a Abrir Crédito Adicional Especial junto a Lei Orçamentária Anual no valor total de R$ 263.192,95, conforme as seguintes especificações:</w:t>
      </w:r>
    </w:p>
    <w:tbl>
      <w:tblPr>
        <w:tblpPr w:leftFromText="141" w:rightFromText="141" w:bottomFromText="160" w:vertAnchor="text" w:horzAnchor="margin" w:tblpXSpec="center" w:tblpY="223"/>
        <w:tblW w:w="10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589"/>
        <w:gridCol w:w="5982"/>
        <w:gridCol w:w="2928"/>
      </w:tblGrid>
      <w:tr w:rsidR="00542E91" w:rsidRPr="00542E91" w:rsidTr="00542E91">
        <w:trPr>
          <w:trHeight w:val="315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</w:rPr>
            </w:pPr>
            <w:r w:rsidRPr="00542E91">
              <w:rPr>
                <w:rFonts w:ascii="Calibri" w:eastAsia="Calibri" w:hAnsi="Calibri" w:cs="Calibri"/>
                <w:b/>
                <w:bCs/>
              </w:rPr>
              <w:t xml:space="preserve">UNIDADE ORÇAMENTARIA: </w:t>
            </w:r>
            <w:proofErr w:type="gramStart"/>
            <w:r w:rsidRPr="00542E91">
              <w:rPr>
                <w:rFonts w:ascii="Calibri" w:eastAsia="Calibri" w:hAnsi="Calibri" w:cs="Calibri"/>
                <w:b/>
                <w:bCs/>
              </w:rPr>
              <w:t>1200 – SECRETARIA</w:t>
            </w:r>
            <w:proofErr w:type="gramEnd"/>
            <w:r w:rsidRPr="00542E91">
              <w:rPr>
                <w:rFonts w:ascii="Calibri" w:eastAsia="Calibri" w:hAnsi="Calibri" w:cs="Calibri"/>
                <w:b/>
                <w:bCs/>
              </w:rPr>
              <w:t xml:space="preserve"> MUNICIPAL DE CULTURA, ESPORTE E LAZER</w:t>
            </w:r>
          </w:p>
        </w:tc>
      </w:tr>
      <w:tr w:rsidR="00542E91" w:rsidRPr="00542E91" w:rsidTr="00542E91">
        <w:trPr>
          <w:trHeight w:val="480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CLASSIFICAÇÃO: 13.392.1301.2.421 – FOMENTO AO SETOR CULTURAL - AUDIOVISUAL – LEI PAULO GUSTAVO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FICHA</w:t>
            </w: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NATUREZA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ORÇADO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1715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339035 – Serviços de Consultoria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R$ 9.365,72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1715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339036 – Outros Serviços de Terceiros Pessoa Física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 xml:space="preserve">R$ 16.002,13 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1715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 xml:space="preserve">339039 – Outros Serviços de </w:t>
            </w:r>
            <w:proofErr w:type="gramStart"/>
            <w:r w:rsidRPr="00542E91">
              <w:rPr>
                <w:rFonts w:ascii="Calibri" w:eastAsia="Calibri" w:hAnsi="Calibri" w:cs="Calibri"/>
              </w:rPr>
              <w:t>Terceiros Pessoa Jurídica</w:t>
            </w:r>
            <w:proofErr w:type="gramEnd"/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 xml:space="preserve">R$ 161.946,57 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Total Fonte 1715 – Recursos LC 195 Audiovisual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R$ 187.314,42</w:t>
            </w:r>
          </w:p>
        </w:tc>
      </w:tr>
      <w:tr w:rsidR="00542E91" w:rsidRPr="00542E91" w:rsidTr="00542E91">
        <w:trPr>
          <w:trHeight w:val="315"/>
        </w:trPr>
        <w:tc>
          <w:tcPr>
            <w:tcW w:w="674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9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82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28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42E91" w:rsidRPr="00542E91" w:rsidTr="00542E91">
        <w:trPr>
          <w:trHeight w:val="315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</w:rPr>
            </w:pPr>
            <w:r w:rsidRPr="00542E91">
              <w:rPr>
                <w:rFonts w:ascii="Calibri" w:eastAsia="Calibri" w:hAnsi="Calibri" w:cs="Calibri"/>
                <w:b/>
                <w:bCs/>
              </w:rPr>
              <w:lastRenderedPageBreak/>
              <w:t xml:space="preserve">UNIDADE ORÇAMENTARIA: </w:t>
            </w:r>
            <w:proofErr w:type="gramStart"/>
            <w:r w:rsidRPr="00542E91">
              <w:rPr>
                <w:rFonts w:ascii="Calibri" w:eastAsia="Calibri" w:hAnsi="Calibri" w:cs="Calibri"/>
                <w:b/>
                <w:bCs/>
              </w:rPr>
              <w:t>1200 – SECRETARIA</w:t>
            </w:r>
            <w:proofErr w:type="gramEnd"/>
            <w:r w:rsidRPr="00542E91">
              <w:rPr>
                <w:rFonts w:ascii="Calibri" w:eastAsia="Calibri" w:hAnsi="Calibri" w:cs="Calibri"/>
                <w:b/>
                <w:bCs/>
              </w:rPr>
              <w:t xml:space="preserve"> MUNICIPAL DE CULTURA, ESPORTE E LAZER</w:t>
            </w:r>
          </w:p>
        </w:tc>
      </w:tr>
      <w:tr w:rsidR="00542E91" w:rsidRPr="00542E91" w:rsidTr="00542E91">
        <w:trPr>
          <w:trHeight w:val="480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CLASSIFICAÇÃO: 13.392.1301.2.422– FOMENTO AO SETOR CULTURAL- DEMAIS AREAS CULTURAIS -</w:t>
            </w:r>
            <w:proofErr w:type="gramStart"/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LEI PAULO GUSTAVO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FICHA</w:t>
            </w: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NATUREZA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42E9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ORÇADO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1716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339035 – Serviços de Consultoria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R$ 3.793,93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1716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339036 – Outros Serviços de Terceiros Pessoa Física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R$ 36.042,30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1716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339039 – Outros Serviços de Terceiros – Pessoa Jurídica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R$ 36.042,30</w:t>
            </w:r>
          </w:p>
        </w:tc>
      </w:tr>
      <w:tr w:rsidR="00542E91" w:rsidRPr="00542E91" w:rsidTr="00542E91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E91" w:rsidRPr="00542E91" w:rsidRDefault="00542E91" w:rsidP="00542E91">
            <w:pPr>
              <w:spacing w:after="160" w:line="256" w:lineRule="auto"/>
              <w:rPr>
                <w:rFonts w:ascii="Calibri" w:eastAsia="Calibri" w:hAnsi="Calibri" w:cs="Calibri"/>
              </w:rPr>
            </w:pPr>
            <w:r w:rsidRPr="00542E91">
              <w:rPr>
                <w:rFonts w:ascii="Calibri" w:eastAsia="Calibri" w:hAnsi="Calibri" w:cs="Calibri"/>
              </w:rPr>
              <w:t>Total Fonte 1716 – Recursos LC 195 Demais Setores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2E91" w:rsidRPr="00542E91" w:rsidRDefault="00542E91" w:rsidP="00542E91">
            <w:pPr>
              <w:spacing w:after="160" w:line="256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542E91">
              <w:rPr>
                <w:rFonts w:ascii="Calibri" w:eastAsia="Calibri" w:hAnsi="Calibri" w:cs="Calibri"/>
                <w:color w:val="000000"/>
              </w:rPr>
              <w:t>R$ 75.878,53</w:t>
            </w:r>
          </w:p>
        </w:tc>
      </w:tr>
      <w:tr w:rsidR="00542E91" w:rsidRPr="00542E91" w:rsidTr="00542E91">
        <w:trPr>
          <w:trHeight w:val="315"/>
        </w:trPr>
        <w:tc>
          <w:tcPr>
            <w:tcW w:w="674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9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982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28" w:type="dxa"/>
            <w:noWrap/>
            <w:vAlign w:val="bottom"/>
            <w:hideMark/>
          </w:tcPr>
          <w:p w:rsidR="00542E91" w:rsidRPr="00542E91" w:rsidRDefault="00542E91" w:rsidP="00542E9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542E91" w:rsidRPr="00542E91" w:rsidRDefault="00542E91" w:rsidP="00542E91">
      <w:pPr>
        <w:tabs>
          <w:tab w:val="left" w:pos="1260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42E91" w:rsidRPr="00542E91" w:rsidRDefault="00542E91" w:rsidP="00542E91">
      <w:pPr>
        <w:spacing w:after="160" w:line="256" w:lineRule="auto"/>
        <w:rPr>
          <w:rFonts w:ascii="Calibri" w:eastAsia="Calibri" w:hAnsi="Calibri" w:cs="Calibri"/>
          <w:b/>
          <w:bCs/>
          <w:color w:val="000000"/>
        </w:rPr>
      </w:pPr>
    </w:p>
    <w:p w:rsidR="00542E91" w:rsidRPr="00542E91" w:rsidRDefault="00542E91" w:rsidP="00542E91">
      <w:pPr>
        <w:tabs>
          <w:tab w:val="left" w:pos="1260"/>
        </w:tabs>
        <w:spacing w:after="16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42E91">
        <w:rPr>
          <w:rFonts w:ascii="Arial" w:eastAsia="Calibri" w:hAnsi="Arial" w:cs="Arial"/>
          <w:b/>
          <w:sz w:val="24"/>
          <w:szCs w:val="24"/>
        </w:rPr>
        <w:tab/>
      </w:r>
    </w:p>
    <w:p w:rsidR="00542E91" w:rsidRPr="00542E91" w:rsidRDefault="00542E91" w:rsidP="00542E91">
      <w:pPr>
        <w:tabs>
          <w:tab w:val="left" w:pos="1260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b/>
          <w:sz w:val="24"/>
          <w:szCs w:val="24"/>
        </w:rPr>
        <w:tab/>
        <w:t xml:space="preserve">Art. 2º. </w:t>
      </w:r>
      <w:r w:rsidRPr="00542E91">
        <w:rPr>
          <w:rFonts w:ascii="Arial" w:eastAsia="Calibri" w:hAnsi="Arial" w:cs="Arial"/>
          <w:sz w:val="24"/>
          <w:szCs w:val="24"/>
        </w:rPr>
        <w:t xml:space="preserve">Os recursos necessários à abertura do crédito de que trata o art. 1º decorrem de excesso de arrecadação, relativo </w:t>
      </w:r>
      <w:proofErr w:type="gramStart"/>
      <w:r w:rsidRPr="00542E91">
        <w:rPr>
          <w:rFonts w:ascii="Arial" w:eastAsia="Calibri" w:hAnsi="Arial" w:cs="Arial"/>
          <w:sz w:val="24"/>
          <w:szCs w:val="24"/>
        </w:rPr>
        <w:t>as</w:t>
      </w:r>
      <w:proofErr w:type="gramEnd"/>
      <w:r w:rsidRPr="00542E91">
        <w:rPr>
          <w:rFonts w:ascii="Arial" w:eastAsia="Calibri" w:hAnsi="Arial" w:cs="Arial"/>
          <w:sz w:val="24"/>
          <w:szCs w:val="24"/>
        </w:rPr>
        <w:t xml:space="preserve"> fontes de recursos 1715 – Transferências destinadas ao Setor Cultural – LC nº 195/2022 - Audiovisual e 1716 - Transferências destinadas ao Setor Cultural – LC nº 195/2022 – Demais Setores (Lei Paulo Gustavo).</w:t>
      </w:r>
    </w:p>
    <w:p w:rsidR="00542E91" w:rsidRPr="00542E91" w:rsidRDefault="00542E91" w:rsidP="00542E91">
      <w:pPr>
        <w:tabs>
          <w:tab w:val="left" w:pos="1260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42E91" w:rsidRPr="00542E91" w:rsidRDefault="00542E91" w:rsidP="00542E91">
      <w:pPr>
        <w:tabs>
          <w:tab w:val="left" w:pos="708"/>
          <w:tab w:val="left" w:pos="1416"/>
          <w:tab w:val="left" w:pos="2124"/>
          <w:tab w:val="left" w:pos="2832"/>
          <w:tab w:val="left" w:pos="7275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b/>
          <w:sz w:val="24"/>
          <w:szCs w:val="24"/>
        </w:rPr>
        <w:tab/>
      </w:r>
      <w:r w:rsidRPr="00542E91">
        <w:rPr>
          <w:rFonts w:ascii="Arial" w:eastAsia="Calibri" w:hAnsi="Arial" w:cs="Arial"/>
          <w:b/>
          <w:sz w:val="24"/>
          <w:szCs w:val="24"/>
        </w:rPr>
        <w:tab/>
        <w:t>Art. 3º</w:t>
      </w:r>
      <w:r w:rsidRPr="00542E91">
        <w:rPr>
          <w:rFonts w:ascii="Arial" w:eastAsia="Calibri" w:hAnsi="Arial" w:cs="Arial"/>
          <w:sz w:val="24"/>
          <w:szCs w:val="24"/>
        </w:rPr>
        <w:t xml:space="preserve"> Em caso de insuficiência dos recursos</w:t>
      </w:r>
      <w:proofErr w:type="gramStart"/>
      <w:r w:rsidRPr="00542E91">
        <w:rPr>
          <w:rFonts w:ascii="Arial" w:eastAsia="Calibri" w:hAnsi="Arial" w:cs="Arial"/>
          <w:sz w:val="24"/>
          <w:szCs w:val="24"/>
        </w:rPr>
        <w:t>, fica</w:t>
      </w:r>
      <w:proofErr w:type="gramEnd"/>
      <w:r w:rsidRPr="00542E91">
        <w:rPr>
          <w:rFonts w:ascii="Arial" w:eastAsia="Calibri" w:hAnsi="Arial" w:cs="Arial"/>
          <w:sz w:val="24"/>
          <w:szCs w:val="24"/>
        </w:rPr>
        <w:t xml:space="preserve"> autorizada a suplementação das dotações constantes desta Lei, nos termos e limites previstos na Lei Orçamentária Municipal para o exercício vigente.</w:t>
      </w:r>
    </w:p>
    <w:p w:rsidR="00542E91" w:rsidRPr="00542E91" w:rsidRDefault="00542E91" w:rsidP="00542E91">
      <w:pPr>
        <w:spacing w:after="16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42E91" w:rsidRPr="00542E91" w:rsidRDefault="00542E91" w:rsidP="00542E91">
      <w:pPr>
        <w:tabs>
          <w:tab w:val="left" w:pos="708"/>
          <w:tab w:val="left" w:pos="1416"/>
          <w:tab w:val="left" w:pos="2124"/>
          <w:tab w:val="left" w:pos="2832"/>
          <w:tab w:val="left" w:pos="7275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b/>
          <w:sz w:val="24"/>
          <w:szCs w:val="24"/>
        </w:rPr>
        <w:tab/>
      </w:r>
      <w:r w:rsidRPr="00542E91">
        <w:rPr>
          <w:rFonts w:ascii="Arial" w:eastAsia="Calibri" w:hAnsi="Arial" w:cs="Arial"/>
          <w:b/>
          <w:sz w:val="24"/>
          <w:szCs w:val="24"/>
        </w:rPr>
        <w:tab/>
        <w:t>Art. 4º.</w:t>
      </w:r>
      <w:r w:rsidRPr="00542E91">
        <w:rPr>
          <w:rFonts w:ascii="Arial" w:eastAsia="Calibri" w:hAnsi="Arial" w:cs="Arial"/>
          <w:sz w:val="24"/>
          <w:szCs w:val="24"/>
        </w:rPr>
        <w:t xml:space="preserve"> Esta Lei entra em vigor na data de sua publicação.</w:t>
      </w:r>
    </w:p>
    <w:p w:rsidR="00542E91" w:rsidRPr="00542E91" w:rsidRDefault="00542E91" w:rsidP="00542E91">
      <w:pPr>
        <w:tabs>
          <w:tab w:val="left" w:pos="708"/>
          <w:tab w:val="left" w:pos="1416"/>
          <w:tab w:val="left" w:pos="2124"/>
          <w:tab w:val="left" w:pos="2832"/>
          <w:tab w:val="left" w:pos="7275"/>
        </w:tabs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sz w:val="24"/>
          <w:szCs w:val="24"/>
        </w:rPr>
        <w:t xml:space="preserve"> </w:t>
      </w: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542E91">
        <w:rPr>
          <w:rFonts w:ascii="Arial" w:eastAsia="Calibri" w:hAnsi="Arial" w:cs="Arial"/>
          <w:sz w:val="24"/>
          <w:szCs w:val="24"/>
        </w:rPr>
        <w:t xml:space="preserve">Belo </w:t>
      </w:r>
      <w:proofErr w:type="gramStart"/>
      <w:r w:rsidRPr="00542E91">
        <w:rPr>
          <w:rFonts w:ascii="Arial" w:eastAsia="Calibri" w:hAnsi="Arial" w:cs="Arial"/>
          <w:sz w:val="24"/>
          <w:szCs w:val="24"/>
        </w:rPr>
        <w:t>Oriente,</w:t>
      </w:r>
      <w:proofErr w:type="gramEnd"/>
      <w:r w:rsidRPr="00542E91">
        <w:rPr>
          <w:rFonts w:ascii="Arial" w:eastAsia="Calibri" w:hAnsi="Arial" w:cs="Arial"/>
          <w:sz w:val="24"/>
          <w:szCs w:val="24"/>
        </w:rPr>
        <w:t xml:space="preserve"> MG, 01 de agosto de 2023</w:t>
      </w: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</w:rPr>
      </w:pPr>
    </w:p>
    <w:p w:rsidR="00542E91" w:rsidRPr="00542E91" w:rsidRDefault="00542E91" w:rsidP="00542E91">
      <w:pPr>
        <w:spacing w:after="160" w:line="256" w:lineRule="auto"/>
        <w:rPr>
          <w:rFonts w:ascii="Arial" w:eastAsia="Calibri" w:hAnsi="Arial" w:cs="Arial"/>
        </w:rPr>
      </w:pPr>
    </w:p>
    <w:p w:rsidR="00542E91" w:rsidRPr="00542E91" w:rsidRDefault="00542E91" w:rsidP="00542E91">
      <w:pPr>
        <w:spacing w:after="120"/>
        <w:ind w:left="708" w:firstLine="708"/>
        <w:rPr>
          <w:rFonts w:ascii="Arial" w:eastAsia="Calibri" w:hAnsi="Arial" w:cs="Arial"/>
          <w:b/>
          <w:bCs/>
          <w:iCs/>
          <w:sz w:val="26"/>
        </w:rPr>
      </w:pPr>
      <w:bookmarkStart w:id="1" w:name="OLE_LINK22"/>
      <w:bookmarkStart w:id="2" w:name="OLE_LINK21"/>
    </w:p>
    <w:bookmarkEnd w:id="1"/>
    <w:bookmarkEnd w:id="2"/>
    <w:p w:rsidR="00542E91" w:rsidRPr="00542E91" w:rsidRDefault="00542E91" w:rsidP="00542E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3"/>
        </w:rPr>
      </w:pPr>
      <w:r w:rsidRPr="00542E91">
        <w:rPr>
          <w:rFonts w:ascii="Arial" w:eastAsia="Calibri" w:hAnsi="Arial" w:cs="Arial"/>
          <w:b/>
          <w:bCs/>
          <w:color w:val="000000"/>
          <w:sz w:val="24"/>
          <w:szCs w:val="23"/>
        </w:rPr>
        <w:t>Hamilton Rômulo de Menezes Carvalho</w:t>
      </w: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3"/>
        </w:rPr>
      </w:pPr>
      <w:r w:rsidRPr="00542E91">
        <w:rPr>
          <w:rFonts w:ascii="Arial" w:eastAsia="Calibri" w:hAnsi="Arial" w:cs="Arial"/>
          <w:sz w:val="24"/>
          <w:szCs w:val="23"/>
        </w:rPr>
        <w:t>Prefeito Municipal de Belo Oriente (MG)</w:t>
      </w:r>
    </w:p>
    <w:p w:rsidR="00542E91" w:rsidRPr="00542E91" w:rsidRDefault="00542E91" w:rsidP="00542E91">
      <w:pPr>
        <w:spacing w:after="120"/>
        <w:ind w:left="708" w:firstLine="708"/>
        <w:rPr>
          <w:rFonts w:ascii="Arial" w:eastAsia="Calibri" w:hAnsi="Arial" w:cs="Arial"/>
          <w:bCs/>
          <w:iCs/>
          <w:sz w:val="26"/>
        </w:rPr>
      </w:pP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542E91" w:rsidRPr="00542E91" w:rsidRDefault="00542E91" w:rsidP="00542E91">
      <w:pPr>
        <w:spacing w:after="160" w:line="256" w:lineRule="auto"/>
        <w:jc w:val="center"/>
        <w:rPr>
          <w:rFonts w:ascii="Arial" w:eastAsia="Calibri" w:hAnsi="Arial" w:cs="Arial"/>
          <w:sz w:val="24"/>
          <w:szCs w:val="23"/>
        </w:rPr>
      </w:pPr>
    </w:p>
    <w:p w:rsidR="00542E91" w:rsidRPr="00542E91" w:rsidRDefault="00542E91" w:rsidP="00542E91">
      <w:pPr>
        <w:spacing w:after="160" w:line="256" w:lineRule="auto"/>
        <w:rPr>
          <w:rFonts w:ascii="Arial" w:eastAsia="Calibri" w:hAnsi="Arial" w:cs="Arial"/>
          <w:sz w:val="24"/>
          <w:szCs w:val="23"/>
        </w:rPr>
      </w:pPr>
    </w:p>
    <w:p w:rsidR="0056797C" w:rsidRDefault="00542E91" w:rsidP="00542E91">
      <w:r w:rsidRPr="00542E91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 xml:space="preserve">MENSAGEM AO PROJETO DE LEI </w:t>
      </w:r>
      <w:proofErr w:type="spellStart"/>
      <w:r w:rsidRPr="00542E91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N.°</w:t>
      </w:r>
      <w:proofErr w:type="spellEnd"/>
      <w:r w:rsidRPr="00542E91">
        <w:rPr>
          <w:rFonts w:ascii="Arial" w:eastAsia="Arial" w:hAnsi="Arial" w:cs="Arial"/>
          <w:b/>
          <w:color w:val="000000"/>
          <w:sz w:val="24"/>
          <w:shd w:val="clear" w:color="auto" w:fill="FFFFFF"/>
        </w:rPr>
        <w:t>: __</w:t>
      </w:r>
    </w:p>
    <w:sectPr w:rsidR="005679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30" w:rsidRDefault="003C5130" w:rsidP="00913DA2">
      <w:pPr>
        <w:spacing w:after="0" w:line="240" w:lineRule="auto"/>
      </w:pPr>
      <w:r>
        <w:separator/>
      </w:r>
    </w:p>
  </w:endnote>
  <w:endnote w:type="continuationSeparator" w:id="0">
    <w:p w:rsidR="003C5130" w:rsidRDefault="003C5130" w:rsidP="0091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30" w:rsidRDefault="003C5130" w:rsidP="00913DA2">
      <w:pPr>
        <w:spacing w:after="0" w:line="240" w:lineRule="auto"/>
      </w:pPr>
      <w:r>
        <w:separator/>
      </w:r>
    </w:p>
  </w:footnote>
  <w:footnote w:type="continuationSeparator" w:id="0">
    <w:p w:rsidR="003C5130" w:rsidRDefault="003C5130" w:rsidP="0091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DA2" w:rsidRPr="00913DA2" w:rsidRDefault="00913DA2" w:rsidP="00913DA2">
    <w:pPr>
      <w:pStyle w:val="Cabealho"/>
      <w:jc w:val="center"/>
      <w:rPr>
        <w:b/>
        <w:sz w:val="44"/>
        <w:szCs w:val="44"/>
        <w:u w:val="single"/>
      </w:rPr>
    </w:pPr>
    <w:r w:rsidRPr="00913DA2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68"/>
    <w:rsid w:val="001B1A25"/>
    <w:rsid w:val="00366B57"/>
    <w:rsid w:val="003C5130"/>
    <w:rsid w:val="00542E91"/>
    <w:rsid w:val="0056797C"/>
    <w:rsid w:val="00865B68"/>
    <w:rsid w:val="00913DA2"/>
    <w:rsid w:val="00A84488"/>
    <w:rsid w:val="00AD0F21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DA2"/>
  </w:style>
  <w:style w:type="paragraph" w:styleId="Rodap">
    <w:name w:val="footer"/>
    <w:basedOn w:val="Normal"/>
    <w:link w:val="RodapChar"/>
    <w:uiPriority w:val="99"/>
    <w:unhideWhenUsed/>
    <w:rsid w:val="0091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DA2"/>
  </w:style>
  <w:style w:type="paragraph" w:styleId="Rodap">
    <w:name w:val="footer"/>
    <w:basedOn w:val="Normal"/>
    <w:link w:val="RodapChar"/>
    <w:uiPriority w:val="99"/>
    <w:unhideWhenUsed/>
    <w:rsid w:val="0091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</dc:creator>
  <cp:keywords/>
  <dc:description/>
  <cp:lastModifiedBy>Secretária</cp:lastModifiedBy>
  <cp:revision>2</cp:revision>
  <dcterms:created xsi:type="dcterms:W3CDTF">2023-08-15T17:26:00Z</dcterms:created>
  <dcterms:modified xsi:type="dcterms:W3CDTF">2023-08-15T17:39:00Z</dcterms:modified>
</cp:coreProperties>
</file>